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2D8ACB3C" w:rsidR="00E759AB" w:rsidRPr="00E759AB" w:rsidRDefault="00A16AA1" w:rsidP="00E759AB">
                                <w:pPr>
                                  <w:pStyle w:val="Heading3"/>
                                  <w:pBdr>
                                    <w:top w:val="single" w:sz="6" w:space="0" w:color="4472C4" w:themeColor="accent1"/>
                                  </w:pBdr>
                                </w:pPr>
                                <w:r>
                                  <w:t xml:space="preserve">approved </w:t>
                                </w:r>
                                <w:r w:rsidR="00EE5405">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2D8ACB3C" w:rsidR="00E759AB" w:rsidRPr="00E759AB" w:rsidRDefault="00A16AA1" w:rsidP="00E759AB">
                          <w:pPr>
                            <w:pStyle w:val="Heading3"/>
                            <w:pBdr>
                              <w:top w:val="single" w:sz="6" w:space="0" w:color="4472C4" w:themeColor="accent1"/>
                            </w:pBdr>
                          </w:pPr>
                          <w:r>
                            <w:t xml:space="preserve">approved </w:t>
                          </w:r>
                          <w:r w:rsidR="00EE5405">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2AB54704" w:rsidR="00EE5405"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720B56F9">
                    <wp:simplePos x="0" y="0"/>
                    <wp:positionH relativeFrom="page">
                      <wp:posOffset>3677920</wp:posOffset>
                    </wp:positionH>
                    <wp:positionV relativeFrom="page">
                      <wp:posOffset>1440180</wp:posOffset>
                    </wp:positionV>
                    <wp:extent cx="3295650" cy="106934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32956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5B04C269" w:rsidR="00217F8A" w:rsidRDefault="00025C5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E5405">
                                      <w:rPr>
                                        <w:rFonts w:asciiTheme="majorHAnsi" w:eastAsiaTheme="majorEastAsia" w:hAnsiTheme="majorHAnsi" w:cstheme="majorBidi"/>
                                        <w:color w:val="262626" w:themeColor="text1" w:themeTint="D9"/>
                                        <w:sz w:val="72"/>
                                        <w:szCs w:val="72"/>
                                      </w:rPr>
                                      <w:t>Accessibility Policy</w:t>
                                    </w:r>
                                  </w:sdtContent>
                                </w:sdt>
                              </w:p>
                              <w:p w14:paraId="64A18FE9" w14:textId="4B335186" w:rsidR="00217F8A" w:rsidRPr="00E90F45" w:rsidRDefault="00025C52" w:rsidP="00E759AB">
                                <w:pPr>
                                  <w:spacing w:before="120"/>
                                  <w:rPr>
                                    <w:color w:val="404040" w:themeColor="text1" w:themeTint="BF"/>
                                    <w:sz w:val="40"/>
                                    <w:szCs w:val="40"/>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40"/>
                                        <w:szCs w:val="40"/>
                                      </w:rPr>
                                      <w:t>Autumn</w:t>
                                    </w:r>
                                  </w:sdtContent>
                                </w:sdt>
                                <w:r w:rsidR="00032AEA" w:rsidRPr="00E759AB">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ED98A2" id="_x0000_t202" coordsize="21600,21600" o:spt="202" path="m,l,21600r21600,l21600,xe">
                    <v:stroke joinstyle="miter"/>
                    <v:path gradientshapeok="t" o:connecttype="rect"/>
                  </v:shapetype>
                  <v:shape id="Text Box 34" o:spid="_x0000_s1056" type="#_x0000_t202" style="position:absolute;margin-left:289.6pt;margin-top:113.4pt;width:259.5pt;height:84.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" filled="f" stroked="f" strokeweight=".5pt">
                    <v:textbox style="mso-fit-shape-to-text:t" inset="0,0,0,0">
                      <w:txbxContent>
                        <w:p w14:paraId="4143E47E" w14:textId="5B04C269" w:rsidR="00217F8A" w:rsidRDefault="00025C5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E5405">
                                <w:rPr>
                                  <w:rFonts w:asciiTheme="majorHAnsi" w:eastAsiaTheme="majorEastAsia" w:hAnsiTheme="majorHAnsi" w:cstheme="majorBidi"/>
                                  <w:color w:val="262626" w:themeColor="text1" w:themeTint="D9"/>
                                  <w:sz w:val="72"/>
                                  <w:szCs w:val="72"/>
                                </w:rPr>
                                <w:t>Accessibility Policy</w:t>
                              </w:r>
                            </w:sdtContent>
                          </w:sdt>
                        </w:p>
                        <w:p w14:paraId="64A18FE9" w14:textId="4B335186" w:rsidR="00217F8A" w:rsidRPr="00E90F45" w:rsidRDefault="00025C52" w:rsidP="00E759AB">
                          <w:pPr>
                            <w:spacing w:before="120"/>
                            <w:rPr>
                              <w:color w:val="404040" w:themeColor="text1" w:themeTint="BF"/>
                              <w:sz w:val="40"/>
                              <w:szCs w:val="40"/>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40"/>
                                  <w:szCs w:val="40"/>
                                </w:rPr>
                                <w:t>Autumn</w:t>
                              </w:r>
                            </w:sdtContent>
                          </w:sdt>
                          <w:r w:rsidR="00032AEA" w:rsidRPr="00E759AB">
                            <w:rPr>
                              <w:color w:val="404040" w:themeColor="text1" w:themeTint="BF"/>
                              <w:sz w:val="48"/>
                              <w:szCs w:val="48"/>
                            </w:rPr>
                            <w:t>2026</w:t>
                          </w:r>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07723B00" w14:textId="77777777" w:rsidR="00EE5405" w:rsidRDefault="00EE5405">
      <w:pPr>
        <w:rPr>
          <w:caps/>
          <w:color w:val="FFFFFF" w:themeColor="background1"/>
        </w:rPr>
      </w:pPr>
      <w:r>
        <w:rPr>
          <w:caps/>
          <w:color w:val="FFFFFF" w:themeColor="background1"/>
        </w:rPr>
        <w:br w:type="page"/>
      </w:r>
    </w:p>
    <w:p w14:paraId="20C36856" w14:textId="77777777" w:rsidR="00EE5405" w:rsidRPr="00EE5405" w:rsidRDefault="00EE5405" w:rsidP="00EE5405">
      <w:pPr>
        <w:spacing w:before="200"/>
        <w:jc w:val="both"/>
        <w:rPr>
          <w:rFonts w:ascii="Poppins-Regular" w:eastAsia="Poppins-Regular" w:hAnsi="Poppins-Regular" w:cs="Times New Roman"/>
          <w:b/>
          <w:bCs/>
          <w:color w:val="2F5496"/>
          <w:sz w:val="32"/>
          <w:szCs w:val="40"/>
        </w:rPr>
      </w:pPr>
      <w:r w:rsidRPr="00EE5405">
        <w:rPr>
          <w:rFonts w:ascii="Poppins-Regular" w:eastAsia="Poppins-Regular" w:hAnsi="Poppins-Regular" w:cs="Times New Roman"/>
          <w:b/>
          <w:bCs/>
          <w:color w:val="2F5496"/>
          <w:sz w:val="32"/>
          <w:szCs w:val="40"/>
        </w:rPr>
        <w:lastRenderedPageBreak/>
        <w:t>Contents:</w:t>
      </w:r>
    </w:p>
    <w:p w14:paraId="03867DF8" w14:textId="77777777" w:rsidR="00EE5405" w:rsidRPr="00EE5405" w:rsidRDefault="00025C52" w:rsidP="00EE5405">
      <w:pPr>
        <w:spacing w:before="200"/>
        <w:jc w:val="both"/>
        <w:rPr>
          <w:rFonts w:ascii="Poppins-Regular" w:eastAsia="Poppins-Regular" w:hAnsi="Poppins-Regular" w:cs="Times New Roman"/>
          <w:color w:val="0563C1"/>
          <w:sz w:val="22"/>
          <w:szCs w:val="22"/>
          <w:u w:val="single"/>
        </w:rPr>
      </w:pPr>
      <w:hyperlink w:anchor="_Statement_of_intent" w:history="1">
        <w:r w:rsidR="00EE5405" w:rsidRPr="00EE5405">
          <w:rPr>
            <w:rFonts w:ascii="Poppins-Regular" w:eastAsia="Poppins-Regular" w:hAnsi="Poppins-Regular" w:cs="Times New Roman"/>
            <w:color w:val="0563C1"/>
            <w:sz w:val="22"/>
            <w:szCs w:val="22"/>
            <w:u w:val="single"/>
          </w:rPr>
          <w:t>Statement of intent</w:t>
        </w:r>
      </w:hyperlink>
    </w:p>
    <w:p w14:paraId="599B3496"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Legal_framework" w:history="1">
        <w:r w:rsidR="00EE5405" w:rsidRPr="00EE5405">
          <w:rPr>
            <w:rFonts w:ascii="Poppins-Regular" w:eastAsia="Poppins-Regular" w:hAnsi="Poppins-Regular" w:cs="Times New Roman"/>
            <w:color w:val="0563C1"/>
            <w:sz w:val="22"/>
            <w:szCs w:val="22"/>
            <w:u w:val="single"/>
          </w:rPr>
          <w:t>Legal framework</w:t>
        </w:r>
      </w:hyperlink>
    </w:p>
    <w:p w14:paraId="323D3FC0"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Definitions" w:history="1">
        <w:r w:rsidR="00EE5405" w:rsidRPr="00EE5405">
          <w:rPr>
            <w:rFonts w:ascii="Poppins-Regular" w:eastAsia="Poppins-Regular" w:hAnsi="Poppins-Regular" w:cs="Times New Roman"/>
            <w:color w:val="0563C1"/>
            <w:sz w:val="22"/>
            <w:szCs w:val="22"/>
            <w:u w:val="single"/>
          </w:rPr>
          <w:t>Definitions</w:t>
        </w:r>
      </w:hyperlink>
    </w:p>
    <w:p w14:paraId="72C379BF"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Roles_and_responsibilities_1" w:history="1">
        <w:r w:rsidR="00EE5405" w:rsidRPr="00EE5405">
          <w:rPr>
            <w:rFonts w:ascii="Poppins-Regular" w:eastAsia="Poppins-Regular" w:hAnsi="Poppins-Regular" w:cs="Times New Roman"/>
            <w:color w:val="0563C1"/>
            <w:sz w:val="22"/>
            <w:szCs w:val="22"/>
            <w:u w:val="single"/>
          </w:rPr>
          <w:t>Roles and responsibilities</w:t>
        </w:r>
      </w:hyperlink>
    </w:p>
    <w:p w14:paraId="50227BC9"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Accessibility_Plan" w:history="1">
        <w:r w:rsidR="00EE5405" w:rsidRPr="00EE5405">
          <w:rPr>
            <w:rFonts w:ascii="Poppins-Regular" w:eastAsia="Poppins-Regular" w:hAnsi="Poppins-Regular" w:cs="Times New Roman"/>
            <w:color w:val="0563C1"/>
            <w:sz w:val="22"/>
            <w:szCs w:val="22"/>
            <w:u w:val="single"/>
          </w:rPr>
          <w:t>Accessibility Plan</w:t>
        </w:r>
      </w:hyperlink>
    </w:p>
    <w:p w14:paraId="55F3C155"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Equal_opportunities" w:history="1">
        <w:r w:rsidR="00EE5405" w:rsidRPr="00EE5405">
          <w:rPr>
            <w:rFonts w:ascii="Poppins-Regular" w:eastAsia="Poppins-Regular" w:hAnsi="Poppins-Regular" w:cs="Times New Roman"/>
            <w:color w:val="0563C1"/>
            <w:sz w:val="22"/>
            <w:szCs w:val="22"/>
            <w:u w:val="single"/>
          </w:rPr>
          <w:t xml:space="preserve">Equal opportunities </w:t>
        </w:r>
      </w:hyperlink>
      <w:r w:rsidR="00EE5405" w:rsidRPr="00EE5405">
        <w:rPr>
          <w:rFonts w:ascii="Poppins-Regular" w:eastAsia="Poppins-Regular" w:hAnsi="Poppins-Regular" w:cs="Times New Roman"/>
          <w:sz w:val="22"/>
          <w:szCs w:val="22"/>
        </w:rPr>
        <w:t xml:space="preserve"> </w:t>
      </w:r>
    </w:p>
    <w:p w14:paraId="034CC8A0"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Admissions" w:history="1">
        <w:r w:rsidR="00EE5405" w:rsidRPr="00EE5405">
          <w:rPr>
            <w:rFonts w:ascii="Poppins-Regular" w:eastAsia="Poppins-Regular" w:hAnsi="Poppins-Regular" w:cs="Times New Roman"/>
            <w:color w:val="0563C1"/>
            <w:sz w:val="22"/>
            <w:szCs w:val="22"/>
            <w:u w:val="single"/>
          </w:rPr>
          <w:t>Admissions</w:t>
        </w:r>
      </w:hyperlink>
    </w:p>
    <w:p w14:paraId="33B9676F"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Curriculum" w:history="1">
        <w:r w:rsidR="00EE5405" w:rsidRPr="00EE5405">
          <w:rPr>
            <w:rFonts w:ascii="Poppins-Regular" w:eastAsia="Poppins-Regular" w:hAnsi="Poppins-Regular" w:cs="Times New Roman"/>
            <w:color w:val="0563C1"/>
            <w:sz w:val="22"/>
            <w:szCs w:val="22"/>
            <w:u w:val="single"/>
          </w:rPr>
          <w:t>Curriculum</w:t>
        </w:r>
      </w:hyperlink>
      <w:r w:rsidR="00EE5405" w:rsidRPr="00EE5405">
        <w:rPr>
          <w:rFonts w:ascii="Poppins-Regular" w:eastAsia="Poppins-Regular" w:hAnsi="Poppins-Regular" w:cs="Times New Roman"/>
          <w:sz w:val="22"/>
          <w:szCs w:val="22"/>
        </w:rPr>
        <w:t xml:space="preserve"> </w:t>
      </w:r>
    </w:p>
    <w:p w14:paraId="6AC1E7D6"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Physical_environment" w:history="1">
        <w:r w:rsidR="00EE5405" w:rsidRPr="00EE5405">
          <w:rPr>
            <w:rFonts w:ascii="Poppins-Regular" w:eastAsia="Poppins-Regular" w:hAnsi="Poppins-Regular" w:cs="Times New Roman"/>
            <w:color w:val="0563C1"/>
            <w:sz w:val="22"/>
            <w:szCs w:val="22"/>
            <w:u w:val="single"/>
          </w:rPr>
          <w:t>Physical environment</w:t>
        </w:r>
      </w:hyperlink>
      <w:r w:rsidR="00EE5405" w:rsidRPr="00EE5405">
        <w:rPr>
          <w:rFonts w:ascii="Poppins-Regular" w:eastAsia="Poppins-Regular" w:hAnsi="Poppins-Regular" w:cs="Times New Roman"/>
          <w:sz w:val="22"/>
          <w:szCs w:val="22"/>
        </w:rPr>
        <w:t xml:space="preserve"> </w:t>
      </w:r>
    </w:p>
    <w:p w14:paraId="2BE7FDC5" w14:textId="77777777" w:rsidR="00EE5405" w:rsidRPr="00EE5405" w:rsidRDefault="00025C52" w:rsidP="00EE5405">
      <w:pPr>
        <w:numPr>
          <w:ilvl w:val="0"/>
          <w:numId w:val="50"/>
        </w:numPr>
        <w:spacing w:before="200" w:after="160" w:line="259" w:lineRule="auto"/>
        <w:jc w:val="both"/>
        <w:rPr>
          <w:rFonts w:ascii="Poppins-Regular" w:eastAsia="Poppins-Regular" w:hAnsi="Poppins-Regular" w:cs="Times New Roman"/>
          <w:sz w:val="22"/>
          <w:szCs w:val="22"/>
        </w:rPr>
      </w:pPr>
      <w:hyperlink w:anchor="_Monitoring_and_review_1" w:history="1">
        <w:r w:rsidR="00EE5405" w:rsidRPr="00EE5405">
          <w:rPr>
            <w:rFonts w:ascii="Poppins-Regular" w:eastAsia="Poppins-Regular" w:hAnsi="Poppins-Regular" w:cs="Times New Roman"/>
            <w:color w:val="0563C1"/>
            <w:sz w:val="22"/>
            <w:szCs w:val="22"/>
            <w:u w:val="single"/>
          </w:rPr>
          <w:t>Monitoring and review</w:t>
        </w:r>
      </w:hyperlink>
      <w:r w:rsidR="00EE5405" w:rsidRPr="00EE5405">
        <w:rPr>
          <w:rFonts w:ascii="Poppins-Regular" w:eastAsia="Poppins-Regular" w:hAnsi="Poppins-Regular" w:cs="Times New Roman"/>
          <w:sz w:val="22"/>
          <w:szCs w:val="22"/>
        </w:rPr>
        <w:br w:type="page"/>
      </w:r>
    </w:p>
    <w:p w14:paraId="7DFF4029" w14:textId="77777777" w:rsidR="00EE5405" w:rsidRPr="00EE5405" w:rsidRDefault="00EE5405" w:rsidP="00EE5405">
      <w:pPr>
        <w:spacing w:before="200"/>
        <w:jc w:val="both"/>
        <w:rPr>
          <w:rFonts w:ascii="Poppins-Regular" w:eastAsia="Poppins-Regular" w:hAnsi="Poppins-Regular" w:cs="Times New Roman"/>
          <w:b/>
          <w:bCs/>
          <w:color w:val="2F5496"/>
          <w:sz w:val="32"/>
          <w:szCs w:val="40"/>
        </w:rPr>
      </w:pPr>
      <w:bookmarkStart w:id="0" w:name="_Statement_of_intent"/>
      <w:bookmarkEnd w:id="0"/>
      <w:r w:rsidRPr="00EE5405">
        <w:rPr>
          <w:rFonts w:ascii="Poppins-Regular" w:eastAsia="Poppins-Regular" w:hAnsi="Poppins-Regular" w:cs="Times New Roman"/>
          <w:b/>
          <w:bCs/>
          <w:color w:val="2F5496"/>
          <w:sz w:val="32"/>
          <w:szCs w:val="40"/>
        </w:rPr>
        <w:lastRenderedPageBreak/>
        <w:t>Statement of intent</w:t>
      </w:r>
    </w:p>
    <w:p w14:paraId="444D5DAE"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b/>
          <w:color w:val="398AFF"/>
          <w:sz w:val="22"/>
          <w:szCs w:val="22"/>
          <w:u w:val="single"/>
        </w:rPr>
        <w:t xml:space="preserve">St Mary and St Joseph’s </w:t>
      </w:r>
      <w:r w:rsidRPr="00EE5405">
        <w:rPr>
          <w:rFonts w:ascii="Poppins-Regular" w:eastAsia="Poppins-Regular" w:hAnsi="Poppins-Regular" w:cs="Times New Roman"/>
          <w:sz w:val="22"/>
          <w:szCs w:val="22"/>
        </w:rPr>
        <w:t xml:space="preserve">is 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670FAE8E"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are outlined within the Accessibility Plan. </w:t>
      </w:r>
    </w:p>
    <w:p w14:paraId="5FA86F5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ways in which the school fosters inclusion and equality for pupils who share other protected characteristics are outlined in the Pupil Equality, Equity, Diversity and Inclusion Policy, and the ways in which the school ensures its practices and environments are accessible and inclusive for staff are outlined in the Staff Equality, Equity, Diversity and Inclusion Policy.</w:t>
      </w:r>
    </w:p>
    <w:p w14:paraId="5BC3B90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This policy must be adhered to by all staff members, pupils, parents and visitors.</w:t>
      </w:r>
    </w:p>
    <w:p w14:paraId="7E9D9D93" w14:textId="77777777" w:rsidR="00EE5405" w:rsidRPr="00EE5405" w:rsidRDefault="00EE5405" w:rsidP="00EE5405">
      <w:pPr>
        <w:spacing w:before="0" w:after="160" w:line="259" w:lineRule="auto"/>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br w:type="page"/>
      </w:r>
    </w:p>
    <w:p w14:paraId="7FB30968"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 w:name="_Legal_framework"/>
      <w:bookmarkStart w:id="2" w:name="LF"/>
      <w:bookmarkEnd w:id="1"/>
      <w:r w:rsidRPr="00EE5405">
        <w:rPr>
          <w:rFonts w:ascii="Poppins SemiBold" w:eastAsia="MS Gothic" w:hAnsi="Poppins SemiBold" w:cs="Times New Roman"/>
          <w:color w:val="2F5496"/>
          <w:sz w:val="32"/>
          <w:szCs w:val="32"/>
        </w:rPr>
        <w:lastRenderedPageBreak/>
        <w:t xml:space="preserve">Legal framework </w:t>
      </w:r>
    </w:p>
    <w:bookmarkEnd w:id="2"/>
    <w:p w14:paraId="127CE879"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This policy has due regard to all relevant legislation and statutory guidance including, but not limited to, the following: </w:t>
      </w:r>
    </w:p>
    <w:p w14:paraId="5CEF3003"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United Nations Convention on the Rights of the Child</w:t>
      </w:r>
    </w:p>
    <w:p w14:paraId="5F11DCEC"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United Nations Convention on the Rights of Persons with Disabilities</w:t>
      </w:r>
    </w:p>
    <w:p w14:paraId="4B5530E9"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Human Rights Act 1998</w:t>
      </w:r>
    </w:p>
    <w:p w14:paraId="1E42390E"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Special Educational Needs and Disability Regulations 2014</w:t>
      </w:r>
    </w:p>
    <w:p w14:paraId="6D93A2D4"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Education and Inspections Act 2006</w:t>
      </w:r>
    </w:p>
    <w:p w14:paraId="53DA8990"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Equality Act 2010</w:t>
      </w:r>
    </w:p>
    <w:p w14:paraId="01DC3E8B"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Education Act 1996</w:t>
      </w:r>
    </w:p>
    <w:p w14:paraId="79581D2E"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Children and Families Act 2014</w:t>
      </w:r>
    </w:p>
    <w:p w14:paraId="446460E1"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Equality Act 2010 (Specific Duties and Public Authorities) Regulations 2017</w:t>
      </w:r>
    </w:p>
    <w:p w14:paraId="59E5692F"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DfE ‘The Equality Act 2010 and schools’ </w:t>
      </w:r>
    </w:p>
    <w:p w14:paraId="51011AEC" w14:textId="77777777" w:rsidR="00EE5405" w:rsidRPr="00EE5405" w:rsidRDefault="00EE5405" w:rsidP="00EE5405">
      <w:pPr>
        <w:numPr>
          <w:ilvl w:val="0"/>
          <w:numId w:val="43"/>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DfE ‘Special educational needs and disability code of practice: 0 to 25 years’</w:t>
      </w:r>
    </w:p>
    <w:p w14:paraId="3272AA5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This policy operates in conjunction with the following school policies:</w:t>
      </w:r>
    </w:p>
    <w:p w14:paraId="73FCFCC7"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bookmarkStart w:id="3" w:name="_Roles_and_responsibilities"/>
      <w:bookmarkStart w:id="4" w:name="_Monitoring_and_review"/>
      <w:bookmarkEnd w:id="3"/>
      <w:bookmarkEnd w:id="4"/>
      <w:r w:rsidRPr="00EE5405">
        <w:rPr>
          <w:rFonts w:ascii="Poppins-Regular" w:eastAsia="Poppins-Regular" w:hAnsi="Poppins-Regular" w:cs="Times New Roman"/>
          <w:sz w:val="22"/>
          <w:szCs w:val="22"/>
        </w:rPr>
        <w:t>Equality Information and Objectives Policy</w:t>
      </w:r>
    </w:p>
    <w:p w14:paraId="4B7A5B33"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Early Years Policy</w:t>
      </w:r>
    </w:p>
    <w:p w14:paraId="30098593"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Special Educational Needs and Disabilities (SEND) Policy</w:t>
      </w:r>
    </w:p>
    <w:p w14:paraId="78562E44"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Equality, Equity, Diversity and Inclusion Policy</w:t>
      </w:r>
    </w:p>
    <w:p w14:paraId="1D39ED0D"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Admissions Policy</w:t>
      </w:r>
    </w:p>
    <w:p w14:paraId="5247D96C"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Behaviour Policy</w:t>
      </w:r>
    </w:p>
    <w:p w14:paraId="296CEBF0"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Supporting Pupils with Medical Conditions Policy </w:t>
      </w:r>
    </w:p>
    <w:p w14:paraId="52A418A6"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Administering Medication Policy</w:t>
      </w:r>
    </w:p>
    <w:p w14:paraId="7C527690"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Anti-bullying Policy </w:t>
      </w:r>
    </w:p>
    <w:p w14:paraId="029B5F7D"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lastRenderedPageBreak/>
        <w:t>Curriculum Policy</w:t>
      </w:r>
    </w:p>
    <w:p w14:paraId="1DAAE48D"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Health and Safety Policy</w:t>
      </w:r>
    </w:p>
    <w:p w14:paraId="400EBA29"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School Development Plan</w:t>
      </w:r>
    </w:p>
    <w:p w14:paraId="10088593" w14:textId="77777777" w:rsidR="00EE5405" w:rsidRPr="00EE5405" w:rsidRDefault="00EE5405" w:rsidP="00EE5405">
      <w:pPr>
        <w:numPr>
          <w:ilvl w:val="0"/>
          <w:numId w:val="44"/>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Data Protection Policy</w:t>
      </w:r>
    </w:p>
    <w:p w14:paraId="31F9013D"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5" w:name="_Definitions"/>
      <w:bookmarkEnd w:id="5"/>
      <w:r w:rsidRPr="00EE5405">
        <w:rPr>
          <w:rFonts w:ascii="Poppins SemiBold" w:eastAsia="MS Gothic" w:hAnsi="Poppins SemiBold" w:cs="Times New Roman"/>
          <w:color w:val="2F5496"/>
          <w:sz w:val="32"/>
          <w:szCs w:val="32"/>
        </w:rPr>
        <w:t>Definitions</w:t>
      </w:r>
    </w:p>
    <w:p w14:paraId="38B15AC6"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In line with the Equality Act 2010, “</w:t>
      </w:r>
      <w:r w:rsidRPr="00EE5405">
        <w:rPr>
          <w:rFonts w:ascii="Poppins-Regular" w:eastAsia="Poppins-Regular" w:hAnsi="Poppins-Regular" w:cs="Times New Roman"/>
          <w:b/>
          <w:bCs/>
          <w:sz w:val="22"/>
          <w:szCs w:val="22"/>
        </w:rPr>
        <w:t>indirect discrimination</w:t>
      </w:r>
      <w:r w:rsidRPr="00EE5405">
        <w:rPr>
          <w:rFonts w:ascii="Poppins-Regular" w:eastAsia="Poppins-Regular" w:hAnsi="Poppins-Regular" w:cs="Times New Roman"/>
          <w:sz w:val="22"/>
          <w:szCs w:val="22"/>
        </w:rPr>
        <w:t>” is defined as where a provision, criterion or practice is discriminatory in relation to a person’s protected characteristics, where:</w:t>
      </w:r>
    </w:p>
    <w:p w14:paraId="06F44110" w14:textId="77777777" w:rsidR="00EE5405" w:rsidRPr="00EE5405" w:rsidRDefault="00EE5405" w:rsidP="00EE5405">
      <w:pPr>
        <w:numPr>
          <w:ilvl w:val="0"/>
          <w:numId w:val="49"/>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provision, criterion or practice applies, or would apply, to people without those protected characteristics.</w:t>
      </w:r>
    </w:p>
    <w:p w14:paraId="6370C233" w14:textId="77777777" w:rsidR="00EE5405" w:rsidRPr="00EE5405" w:rsidRDefault="00EE5405" w:rsidP="00EE5405">
      <w:pPr>
        <w:numPr>
          <w:ilvl w:val="0"/>
          <w:numId w:val="49"/>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It puts, or would put, people with those protected characteristics at a disadvantage compared to those without.</w:t>
      </w:r>
    </w:p>
    <w:p w14:paraId="77D711FD" w14:textId="77777777" w:rsidR="00EE5405" w:rsidRPr="00EE5405" w:rsidRDefault="00EE5405" w:rsidP="00EE5405">
      <w:pPr>
        <w:numPr>
          <w:ilvl w:val="0"/>
          <w:numId w:val="49"/>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school cannot show that the provision, criterion or practice is a proportionate means of achieving a legitimate aim.</w:t>
      </w:r>
    </w:p>
    <w:p w14:paraId="10DA1398"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w:t>
      </w:r>
      <w:r w:rsidRPr="00EE5405">
        <w:rPr>
          <w:rFonts w:ascii="Poppins-Regular" w:eastAsia="Poppins-Regular" w:hAnsi="Poppins-Regular" w:cs="Times New Roman"/>
          <w:b/>
          <w:bCs/>
          <w:sz w:val="22"/>
          <w:szCs w:val="22"/>
        </w:rPr>
        <w:t>protected characteristics</w:t>
      </w:r>
      <w:r w:rsidRPr="00EE5405">
        <w:rPr>
          <w:rFonts w:ascii="Poppins-Regular" w:eastAsia="Poppins-Regular" w:hAnsi="Poppins-Regular" w:cs="Times New Roman"/>
          <w:sz w:val="22"/>
          <w:szCs w:val="22"/>
        </w:rPr>
        <w:t xml:space="preserve">” are: age, disability, gender reassignment, race, religion or belief, sex or sexual orientation, pregnancy or maternity, marriage or civil partnership. </w:t>
      </w:r>
    </w:p>
    <w:p w14:paraId="192E6B4A"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A person is defined as having a “</w:t>
      </w:r>
      <w:r w:rsidRPr="00EE5405">
        <w:rPr>
          <w:rFonts w:ascii="Poppins-Regular" w:eastAsia="Poppins-Regular" w:hAnsi="Poppins-Regular" w:cs="Times New Roman"/>
          <w:b/>
          <w:bCs/>
          <w:sz w:val="22"/>
          <w:szCs w:val="22"/>
        </w:rPr>
        <w:t>disability</w:t>
      </w:r>
      <w:r w:rsidRPr="00EE5405">
        <w:rPr>
          <w:rFonts w:ascii="Poppins-Regular" w:eastAsia="Poppins-Regular" w:hAnsi="Poppins-Regular" w:cs="Times New Roman"/>
          <w:sz w:val="22"/>
          <w:szCs w:val="22"/>
        </w:rPr>
        <w:t>” if they have a physical or mental impairment that has an adverse, substantial and long-term effect on their ability to carry out normal day-to-day activities.</w:t>
      </w:r>
    </w:p>
    <w:p w14:paraId="24D6AAC9"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6" w:name="_Roles_and_responsibilities_1"/>
      <w:bookmarkEnd w:id="6"/>
      <w:r w:rsidRPr="00EE5405">
        <w:rPr>
          <w:rFonts w:ascii="Poppins SemiBold" w:eastAsia="MS Gothic" w:hAnsi="Poppins SemiBold" w:cs="Times New Roman"/>
          <w:color w:val="2F5496"/>
          <w:sz w:val="32"/>
          <w:szCs w:val="32"/>
        </w:rPr>
        <w:t xml:space="preserve">Roles and responsibilities </w:t>
      </w:r>
    </w:p>
    <w:p w14:paraId="5A629DA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governing board will be responsible for:</w:t>
      </w:r>
    </w:p>
    <w:p w14:paraId="14464E09" w14:textId="77777777" w:rsidR="00EE5405" w:rsidRPr="00EE5405" w:rsidRDefault="00EE5405" w:rsidP="00EE5405">
      <w:pPr>
        <w:numPr>
          <w:ilvl w:val="0"/>
          <w:numId w:val="46"/>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Ensuring that all accessibility planning, including the school’s Accessibility Plan, adheres to and reflects the principles outlined in this policy.</w:t>
      </w:r>
    </w:p>
    <w:p w14:paraId="682C5E3F" w14:textId="77777777" w:rsidR="00EE5405" w:rsidRPr="00EE5405" w:rsidRDefault="00EE5405" w:rsidP="00EE5405">
      <w:pPr>
        <w:numPr>
          <w:ilvl w:val="0"/>
          <w:numId w:val="46"/>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Approving this policy and the Accessibility Plan before they are implemented. </w:t>
      </w:r>
    </w:p>
    <w:p w14:paraId="092892D2" w14:textId="77777777" w:rsidR="00EE5405" w:rsidRPr="00EE5405" w:rsidRDefault="00EE5405" w:rsidP="00EE5405">
      <w:pPr>
        <w:numPr>
          <w:ilvl w:val="0"/>
          <w:numId w:val="46"/>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Monitoring this policy and the Accessibility Plan.</w:t>
      </w:r>
    </w:p>
    <w:p w14:paraId="74954665"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lastRenderedPageBreak/>
        <w:t>The headteacher will be responsible for:</w:t>
      </w:r>
    </w:p>
    <w:p w14:paraId="1DBA952B"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Creating an Accessibility Plan with the intention of improving the school’s accessibility, in conjunction with the governing board and in line with the school’s legal obligations and the principles outlined in this policy.</w:t>
      </w:r>
    </w:p>
    <w:p w14:paraId="19F94B7F"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Ensuring that staff members are aware of pupils’ disabilities and medical conditions where necessary.</w:t>
      </w:r>
    </w:p>
    <w:p w14:paraId="0BD1F572"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Establishing whether a new pupil has any disabilities or medical conditions which the school should be aware of.</w:t>
      </w:r>
    </w:p>
    <w:p w14:paraId="10C1D3A2"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Consulting with relevant and reputable experts if challenging situations regarding pupils’ disabilities arise.</w:t>
      </w:r>
    </w:p>
    <w:p w14:paraId="76E0B0AF"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Working closely with the governing board, LA and external agencies to effectively create and implement the school’s Accessibility Plan.</w:t>
      </w:r>
    </w:p>
    <w:p w14:paraId="24E72AAD"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SENCO will be responsible for:</w:t>
      </w:r>
    </w:p>
    <w:p w14:paraId="535D077D" w14:textId="77777777" w:rsidR="00EE5405" w:rsidRPr="00EE5405" w:rsidRDefault="00EE5405" w:rsidP="00EE5405">
      <w:pPr>
        <w:numPr>
          <w:ilvl w:val="0"/>
          <w:numId w:val="47"/>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Working closely with the headteacher and governing board to ensure that pupils with SEND are appropriately supported. </w:t>
      </w:r>
    </w:p>
    <w:p w14:paraId="32F51BAE" w14:textId="77777777" w:rsidR="00EE5405" w:rsidRPr="00EE5405" w:rsidRDefault="00EE5405" w:rsidP="00EE5405">
      <w:pPr>
        <w:numPr>
          <w:ilvl w:val="0"/>
          <w:numId w:val="47"/>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Ensuring they have oversight of the needs of pupils with SEND attending the school, and advising the headteacher in relation to those needs as appropriate.</w:t>
      </w:r>
    </w:p>
    <w:p w14:paraId="0033B0D1"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Staff members will be responsible for:</w:t>
      </w:r>
    </w:p>
    <w:p w14:paraId="5A12E3CB"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Acting in accordance with this policy and the Accessibility Plan at all times.</w:t>
      </w:r>
    </w:p>
    <w:p w14:paraId="21B9C07C"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Supporting disabled pupils to access their environment and their education wherever necessary, e.g. by making reasonable adjustments to their practice.</w:t>
      </w:r>
    </w:p>
    <w:p w14:paraId="6E1A1FD3" w14:textId="77777777" w:rsidR="00EE5405" w:rsidRPr="00EE5405" w:rsidRDefault="00EE5405" w:rsidP="00EE5405">
      <w:pPr>
        <w:numPr>
          <w:ilvl w:val="0"/>
          <w:numId w:val="45"/>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Ensuring that their actions do not discriminate against any pupil as a result of their disability. </w:t>
      </w:r>
    </w:p>
    <w:p w14:paraId="7B43C621"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All staff members and governors will partake in whole-school training on equality issues related to the Equality Act 2010. Designated staff members will be trained to effectively support pupils with medical conditions, e.g. understanding how to administer insulin, in line with the Administering Medication Policy.</w:t>
      </w:r>
    </w:p>
    <w:p w14:paraId="7214D027"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7" w:name="_Accessibility_Plan"/>
      <w:bookmarkEnd w:id="7"/>
      <w:r w:rsidRPr="00EE5405">
        <w:rPr>
          <w:rFonts w:ascii="Poppins SemiBold" w:eastAsia="MS Gothic" w:hAnsi="Poppins SemiBold" w:cs="Times New Roman"/>
          <w:color w:val="2F5496"/>
          <w:sz w:val="32"/>
          <w:szCs w:val="32"/>
        </w:rPr>
        <w:lastRenderedPageBreak/>
        <w:t xml:space="preserve">Accessibility Plan </w:t>
      </w:r>
    </w:p>
    <w:p w14:paraId="2382653A"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school’s Accessibility Plan demonstrates how access will be improved for pupils, staff, parents and visitors to the school within a given timeframe. </w:t>
      </w:r>
    </w:p>
    <w:p w14:paraId="5C721BB0"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b/>
          <w:bCs/>
          <w:sz w:val="22"/>
          <w:szCs w:val="22"/>
          <w:highlight w:val="yellow"/>
          <w:shd w:val="clear" w:color="auto" w:fill="ECECEC"/>
        </w:rPr>
        <w:t>[Schools can choose whether to present their Accessibility Plan as a freestanding document or to encompass it within another document such as the School Development Plan (SDP). Amend the following sentence in line with your school’s practice.]</w:t>
      </w:r>
      <w:r w:rsidRPr="00EE5405">
        <w:rPr>
          <w:rFonts w:ascii="Poppins-Regular" w:eastAsia="Poppins-Regular" w:hAnsi="Poppins-Regular" w:cs="Times New Roman"/>
          <w:b/>
          <w:bCs/>
          <w:sz w:val="22"/>
          <w:szCs w:val="22"/>
          <w:highlight w:val="yellow"/>
        </w:rPr>
        <w:t xml:space="preserve"> </w:t>
      </w:r>
      <w:r w:rsidRPr="00EE5405">
        <w:rPr>
          <w:rFonts w:ascii="Poppins-Regular" w:eastAsia="Poppins-Regular" w:hAnsi="Poppins-Regular" w:cs="Times New Roman"/>
          <w:sz w:val="22"/>
          <w:szCs w:val="22"/>
          <w:highlight w:val="yellow"/>
        </w:rPr>
        <w:t xml:space="preserve">It will be presented as </w:t>
      </w:r>
      <w:r w:rsidRPr="00EE5405">
        <w:rPr>
          <w:rFonts w:ascii="Poppins-Regular" w:eastAsia="Poppins-Regular" w:hAnsi="Poppins-Regular" w:cs="Times New Roman"/>
          <w:b/>
          <w:bCs/>
          <w:color w:val="398AFF"/>
          <w:sz w:val="22"/>
          <w:szCs w:val="22"/>
          <w:highlight w:val="yellow"/>
          <w:u w:val="single"/>
        </w:rPr>
        <w:t>a freestanding document</w:t>
      </w:r>
      <w:r w:rsidRPr="00EE5405">
        <w:rPr>
          <w:rFonts w:ascii="Poppins-Regular" w:eastAsia="Poppins-Regular" w:hAnsi="Poppins-Regular" w:cs="Times New Roman"/>
          <w:sz w:val="22"/>
          <w:szCs w:val="22"/>
          <w:highlight w:val="yellow"/>
        </w:rPr>
        <w:t xml:space="preserve"> and is available on the school website.</w:t>
      </w:r>
      <w:r w:rsidRPr="00EE5405">
        <w:rPr>
          <w:rFonts w:ascii="Poppins-Regular" w:eastAsia="Poppins-Regular" w:hAnsi="Poppins-Regular" w:cs="Times New Roman"/>
          <w:sz w:val="22"/>
          <w:szCs w:val="22"/>
        </w:rPr>
        <w:t xml:space="preserve"> </w:t>
      </w:r>
    </w:p>
    <w:p w14:paraId="209D22EE"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Accessibility Plan will be structured to complement and support the school’s Equality Information and Objectives Policy, as well as the Special Educational Needs and Disabilities (SEND) Policy.</w:t>
      </w:r>
    </w:p>
    <w:p w14:paraId="4751BED4"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plan has the following key aims:</w:t>
      </w:r>
    </w:p>
    <w:p w14:paraId="2612B7F7" w14:textId="77777777" w:rsidR="00EE5405" w:rsidRPr="00EE5405" w:rsidRDefault="00EE5405" w:rsidP="00EE5405">
      <w:pPr>
        <w:numPr>
          <w:ilvl w:val="0"/>
          <w:numId w:val="48"/>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To increase the extent to which disabled pupils can participate in the curriculum</w:t>
      </w:r>
    </w:p>
    <w:p w14:paraId="37283641" w14:textId="77777777" w:rsidR="00EE5405" w:rsidRPr="00EE5405" w:rsidRDefault="00EE5405" w:rsidP="00EE5405">
      <w:pPr>
        <w:numPr>
          <w:ilvl w:val="0"/>
          <w:numId w:val="48"/>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To improve and maintain the school’s physical environment to enable disabled pupils to take advantage of the facilities and education on offer</w:t>
      </w:r>
    </w:p>
    <w:p w14:paraId="1CB625F2" w14:textId="77777777" w:rsidR="00EE5405" w:rsidRPr="00EE5405" w:rsidRDefault="00EE5405" w:rsidP="00EE5405">
      <w:pPr>
        <w:numPr>
          <w:ilvl w:val="0"/>
          <w:numId w:val="48"/>
        </w:numPr>
        <w:spacing w:before="200" w:after="160" w:line="259" w:lineRule="auto"/>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To improve the availability and delivery of written information to disabled pupils, in particular that which has already been produced for pupils who are not disabled. </w:t>
      </w:r>
    </w:p>
    <w:p w14:paraId="12DA6F96"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intention is to provide a projected plan for a three-year period ahead of the next review date, which will be </w:t>
      </w:r>
      <w:r w:rsidRPr="00EE5405">
        <w:rPr>
          <w:rFonts w:ascii="Poppins-Regular" w:eastAsia="Poppins-Regular" w:hAnsi="Poppins-Regular" w:cs="Times New Roman"/>
          <w:b/>
          <w:bCs/>
          <w:color w:val="398AFF"/>
          <w:sz w:val="22"/>
          <w:szCs w:val="22"/>
          <w:u w:val="single"/>
        </w:rPr>
        <w:t>Autumn 2029</w:t>
      </w:r>
      <w:r w:rsidRPr="00EE5405">
        <w:rPr>
          <w:rFonts w:ascii="Poppins-Regular" w:eastAsia="Poppins-Regular" w:hAnsi="Poppins-Regular" w:cs="Times New Roman"/>
          <w:sz w:val="22"/>
          <w:szCs w:val="22"/>
        </w:rPr>
        <w:t xml:space="preserve">. If it is not feasible to undertake all the plans during the lifespan of the Accessibility Plan, some items will roll forward into subsequent plans. The school will provide adequate resources for implementing plans, ensuring pupils are sufficiently supported. </w:t>
      </w:r>
    </w:p>
    <w:p w14:paraId="60F78995"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Accessibility Plan will be used to measure where reasonable adjustments need to be made in order to accommodate the needs of people with disabilities. It will be used to advise other school planning documents and will be reported upon annually in respect of progress and outcomes.</w:t>
      </w:r>
    </w:p>
    <w:p w14:paraId="13660CE5"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 will collaborate with the LA in order to effectively develop and implement the plan. The LA will prepare accessibility strategies based on the same principles </w:t>
      </w:r>
      <w:r w:rsidRPr="00EE5405">
        <w:rPr>
          <w:rFonts w:ascii="Poppins-Regular" w:eastAsia="Poppins-Regular" w:hAnsi="Poppins-Regular" w:cs="Times New Roman"/>
          <w:sz w:val="22"/>
          <w:szCs w:val="22"/>
        </w:rPr>
        <w:lastRenderedPageBreak/>
        <w:t xml:space="preserve">as the school’s Accessibility Plan. The LA will also provide auxiliary aids and services where necessary to help the school provide suitable support to pupils with disabilities.  </w:t>
      </w:r>
    </w:p>
    <w:p w14:paraId="4D097905"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highlight w:val="yellow"/>
        </w:rPr>
        <w:t xml:space="preserve">An access audit will be undertaken by the governing board and SENCO </w:t>
      </w:r>
      <w:r w:rsidRPr="00EE5405">
        <w:rPr>
          <w:rFonts w:ascii="Poppins-Regular" w:eastAsia="Poppins-Regular" w:hAnsi="Poppins-Regular" w:cs="Times New Roman"/>
          <w:b/>
          <w:bCs/>
          <w:color w:val="398AFF"/>
          <w:sz w:val="22"/>
          <w:szCs w:val="22"/>
          <w:highlight w:val="yellow"/>
          <w:u w:val="single"/>
        </w:rPr>
        <w:t>annually</w:t>
      </w:r>
      <w:r w:rsidRPr="00EE5405">
        <w:rPr>
          <w:rFonts w:ascii="Poppins-Regular" w:eastAsia="Poppins-Regular" w:hAnsi="Poppins-Regular" w:cs="Times New Roman"/>
          <w:sz w:val="22"/>
          <w:szCs w:val="22"/>
          <w:highlight w:val="yellow"/>
        </w:rPr>
        <w:t>.</w:t>
      </w:r>
      <w:r w:rsidRPr="00EE5405">
        <w:rPr>
          <w:rFonts w:ascii="Poppins-Regular" w:eastAsia="Poppins-Regular" w:hAnsi="Poppins-Regular" w:cs="Times New Roman"/>
          <w:sz w:val="22"/>
          <w:szCs w:val="22"/>
        </w:rPr>
        <w:t xml:space="preserve"> </w:t>
      </w:r>
    </w:p>
    <w:p w14:paraId="7F7487C2"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During Ofsted inspections, the inspectorate may include the school’s Accessibility Plan as part of their review. Both this policy and the Accessibility Plan will be published on the school website.</w:t>
      </w:r>
    </w:p>
    <w:p w14:paraId="3489209A"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8" w:name="_Equal_opportunities"/>
      <w:bookmarkEnd w:id="8"/>
      <w:r w:rsidRPr="00EE5405">
        <w:rPr>
          <w:rFonts w:ascii="Poppins SemiBold" w:eastAsia="MS Gothic" w:hAnsi="Poppins SemiBold" w:cs="Times New Roman"/>
          <w:color w:val="2F5496"/>
          <w:sz w:val="32"/>
          <w:szCs w:val="32"/>
        </w:rPr>
        <w:t xml:space="preserve">Equal opportunities </w:t>
      </w:r>
    </w:p>
    <w:p w14:paraId="0BB488FE"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in order to overcome these barriers, allowing all pupils equal opportunities. </w:t>
      </w:r>
    </w:p>
    <w:p w14:paraId="27F831F8"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77A1CBAF"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9" w:name="_Admissions"/>
      <w:bookmarkEnd w:id="9"/>
      <w:r w:rsidRPr="00EE5405">
        <w:rPr>
          <w:rFonts w:ascii="Poppins SemiBold" w:eastAsia="MS Gothic" w:hAnsi="Poppins SemiBold" w:cs="Times New Roman"/>
          <w:color w:val="2F5496"/>
          <w:sz w:val="32"/>
          <w:szCs w:val="32"/>
        </w:rPr>
        <w:t xml:space="preserve">Admissions </w:t>
      </w:r>
    </w:p>
    <w:p w14:paraId="150FFB8D"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 will act in accordance with its Admissions Policy. The same entry criteria will be applied to all pupils and potential pupils. </w:t>
      </w:r>
    </w:p>
    <w:p w14:paraId="2132172F"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19B01A14"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Information will be obtained on future pupils in order to facilitate advanced planning. Prospective parents of statemented pupils, and pupils with SEND, are </w:t>
      </w:r>
      <w:r w:rsidRPr="00EE5405">
        <w:rPr>
          <w:rFonts w:ascii="Poppins-Regular" w:eastAsia="Poppins-Regular" w:hAnsi="Poppins-Regular" w:cs="Times New Roman"/>
          <w:sz w:val="22"/>
          <w:szCs w:val="22"/>
        </w:rPr>
        <w:lastRenderedPageBreak/>
        <w:t xml:space="preserve">invited to a transition meeting prior to the pupil starting school in order to discuss the pupil’s specific needs.  </w:t>
      </w:r>
    </w:p>
    <w:p w14:paraId="13E526FE"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0" w:name="_Curriculum"/>
      <w:bookmarkEnd w:id="10"/>
      <w:r w:rsidRPr="00EE5405">
        <w:rPr>
          <w:rFonts w:ascii="Poppins SemiBold" w:eastAsia="MS Gothic" w:hAnsi="Poppins SemiBold" w:cs="Times New Roman"/>
          <w:color w:val="2F5496"/>
          <w:sz w:val="32"/>
          <w:szCs w:val="32"/>
        </w:rPr>
        <w:t xml:space="preserve">Curriculum </w:t>
      </w:r>
    </w:p>
    <w:p w14:paraId="59159AD0"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2CE114C6"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 subject leads and the SENCO will work together to ensure that the pupil’s EHC plan is implemented, and that the teaching of that subject is adjusted for the pupil wherever necessary in line with their EHC plan. Where any amendments to the provisions of the plan need to be amended or adapted to allow the pupil to reach their full potential in a given subject, advice will be sought from outside agencies where necessary.  </w:t>
      </w:r>
    </w:p>
    <w:p w14:paraId="51E6C965"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1DC8FCE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Curricular activities involving physical activity or exercise, e.g. PE lessons, will be adapted, wherever necessary and possible, to ensure disabled pupils can participate in a valuable way in lessons.</w:t>
      </w:r>
    </w:p>
    <w:p w14:paraId="429A5819"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There are established procedures for the identification and support of pupils with SEND in place at the school. Detailed pupil information on pupils with SEND are given to relevant staff in order to aid teaching, e.g. ‘pupil passports’. </w:t>
      </w:r>
    </w:p>
    <w:p w14:paraId="3632836F"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school ensures that specialist resources – including physical resources, e.g. large-print books, and human resources, e.g. learning support assistants – are available and appropriately deployed for pupils who require or would benefit from them to fully participate in the curriculum.</w:t>
      </w:r>
    </w:p>
    <w:p w14:paraId="4AE916AF"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1" w:name="_Physical_environment"/>
      <w:bookmarkEnd w:id="11"/>
      <w:r w:rsidRPr="00EE5405">
        <w:rPr>
          <w:rFonts w:ascii="Poppins SemiBold" w:eastAsia="MS Gothic" w:hAnsi="Poppins SemiBold" w:cs="Times New Roman"/>
          <w:color w:val="2F5496"/>
          <w:sz w:val="32"/>
          <w:szCs w:val="32"/>
        </w:rPr>
        <w:lastRenderedPageBreak/>
        <w:t xml:space="preserve">Physical environment </w:t>
      </w:r>
    </w:p>
    <w:p w14:paraId="6B181DD9" w14:textId="77777777" w:rsidR="00EE5405" w:rsidRPr="00EE5405" w:rsidRDefault="00EE5405" w:rsidP="00EE5405">
      <w:pPr>
        <w:spacing w:before="200"/>
        <w:jc w:val="both"/>
        <w:rPr>
          <w:rFonts w:ascii="Poppins-Regular" w:eastAsia="Poppins-Regular" w:hAnsi="Poppins-Regular" w:cs="Times New Roman"/>
          <w:b/>
          <w:bCs/>
          <w:sz w:val="22"/>
          <w:szCs w:val="22"/>
        </w:rPr>
      </w:pPr>
      <w:r w:rsidRPr="00EE5405">
        <w:rPr>
          <w:rFonts w:ascii="Poppins-Regular" w:eastAsia="Poppins-Regular" w:hAnsi="Poppins-Regular" w:cs="Times New Roman"/>
          <w:sz w:val="22"/>
          <w:szCs w:val="22"/>
        </w:rPr>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173E0BB7"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
    <w:p w14:paraId="425424F3"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The specific ways in which the school will ensure its physical environment is accessible in full to all members of the school community, irrespective of any protected characteristics, are detailed within the school’s Accessibility Plan.</w:t>
      </w:r>
    </w:p>
    <w:p w14:paraId="311A6455" w14:textId="77777777" w:rsidR="00EE5405" w:rsidRPr="00EE5405" w:rsidRDefault="00EE5405" w:rsidP="00EE5405">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2" w:name="_Monitoring_and_review_1"/>
      <w:bookmarkEnd w:id="12"/>
      <w:r w:rsidRPr="00EE5405">
        <w:rPr>
          <w:rFonts w:ascii="Poppins SemiBold" w:eastAsia="MS Gothic" w:hAnsi="Poppins SemiBold" w:cs="Times New Roman"/>
          <w:color w:val="2F5496"/>
          <w:sz w:val="32"/>
          <w:szCs w:val="32"/>
        </w:rPr>
        <w:t xml:space="preserve">Monitoring and review </w:t>
      </w:r>
    </w:p>
    <w:p w14:paraId="5C87D37D"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 xml:space="preserve">This policy will be reviewed on an </w:t>
      </w:r>
      <w:r w:rsidRPr="00EE5405">
        <w:rPr>
          <w:rFonts w:ascii="Poppins-Regular" w:eastAsia="Poppins-Regular" w:hAnsi="Poppins-Regular" w:cs="Times New Roman"/>
          <w:b/>
          <w:bCs/>
          <w:color w:val="398AFF"/>
          <w:sz w:val="22"/>
          <w:szCs w:val="22"/>
          <w:u w:val="single"/>
        </w:rPr>
        <w:t>annual</w:t>
      </w:r>
      <w:r w:rsidRPr="00EE5405">
        <w:rPr>
          <w:rFonts w:ascii="Poppins-Regular" w:eastAsia="Poppins-Regular" w:hAnsi="Poppins-Regular" w:cs="Times New Roman"/>
          <w:sz w:val="22"/>
          <w:szCs w:val="22"/>
        </w:rPr>
        <w:t xml:space="preserve"> basis or when new legislation or guidance concerning equality and disability is published. The governing board and headteacher will review the policy in collaboration with the SENCO. </w:t>
      </w:r>
    </w:p>
    <w:p w14:paraId="61C94E9B" w14:textId="77777777" w:rsidR="00EE5405" w:rsidRPr="00EE5405" w:rsidRDefault="00EE5405" w:rsidP="00EE5405">
      <w:pPr>
        <w:spacing w:before="200"/>
        <w:jc w:val="both"/>
        <w:rPr>
          <w:rFonts w:ascii="Poppins-Regular" w:eastAsia="Poppins-Regular" w:hAnsi="Poppins-Regular" w:cs="Times New Roman"/>
          <w:sz w:val="22"/>
          <w:szCs w:val="22"/>
        </w:rPr>
      </w:pPr>
      <w:r w:rsidRPr="00EE5405">
        <w:rPr>
          <w:rFonts w:ascii="Poppins-Regular" w:eastAsia="Poppins-Regular" w:hAnsi="Poppins-Regular" w:cs="Times New Roman"/>
          <w:sz w:val="22"/>
          <w:szCs w:val="22"/>
        </w:rPr>
        <w:t>Equality impact assessments will be undertaken as and when school policies are reviewed.</w:t>
      </w:r>
    </w:p>
    <w:p w14:paraId="5BA381BE" w14:textId="05FCDB87" w:rsidR="00094C5A" w:rsidRDefault="00094C5A" w:rsidP="00094C5A">
      <w:pPr>
        <w:spacing w:before="200"/>
        <w:rPr>
          <w:caps/>
          <w:color w:val="FFFFFF" w:themeColor="background1"/>
        </w:rPr>
      </w:pPr>
    </w:p>
    <w:p w14:paraId="507E811D" w14:textId="202C22C8" w:rsidR="00EE5405" w:rsidRDefault="00EE5405" w:rsidP="00EE5405">
      <w:pPr>
        <w:rPr>
          <w:caps/>
          <w:color w:val="FFFFFF" w:themeColor="background1"/>
        </w:rPr>
      </w:pPr>
    </w:p>
    <w:tbl>
      <w:tblPr>
        <w:tblStyle w:val="TableGrid2"/>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7"/>
        <w:gridCol w:w="269"/>
        <w:gridCol w:w="2131"/>
        <w:gridCol w:w="784"/>
        <w:gridCol w:w="130"/>
        <w:gridCol w:w="2965"/>
      </w:tblGrid>
      <w:tr w:rsidR="00EE5405" w:rsidRPr="00EE5405" w14:paraId="43C708F6" w14:textId="77777777" w:rsidTr="00D541DD">
        <w:trPr>
          <w:trHeight w:val="567"/>
        </w:trPr>
        <w:tc>
          <w:tcPr>
            <w:tcW w:w="3082" w:type="dxa"/>
            <w:gridSpan w:val="2"/>
            <w:vAlign w:val="center"/>
          </w:tcPr>
          <w:p w14:paraId="00FEA6EE" w14:textId="77777777" w:rsidR="00EE5405" w:rsidRPr="00EE5405" w:rsidRDefault="00EE5405" w:rsidP="00EE5405">
            <w:pPr>
              <w:rPr>
                <w:rFonts w:ascii="Poppins-Regular" w:hAnsi="Poppins-Regular" w:cs="Times New Roman"/>
              </w:rPr>
            </w:pPr>
            <w:r w:rsidRPr="00EE5405">
              <w:rPr>
                <w:rFonts w:ascii="Poppins-Regular" w:hAnsi="Poppins-Regular" w:cs="Times New Roman"/>
              </w:rPr>
              <w:t>Date policy last reviewed:</w:t>
            </w:r>
          </w:p>
        </w:tc>
        <w:tc>
          <w:tcPr>
            <w:tcW w:w="3082" w:type="dxa"/>
            <w:gridSpan w:val="3"/>
            <w:tcBorders>
              <w:bottom w:val="single" w:sz="4" w:space="0" w:color="auto"/>
            </w:tcBorders>
            <w:vAlign w:val="center"/>
          </w:tcPr>
          <w:p w14:paraId="4456A5A5" w14:textId="77777777" w:rsidR="00EE5405" w:rsidRPr="00EE5405" w:rsidRDefault="00EE5405" w:rsidP="00EE5405">
            <w:pPr>
              <w:rPr>
                <w:rFonts w:ascii="Poppins-Regular" w:hAnsi="Poppins-Regular" w:cs="Times New Roman"/>
              </w:rPr>
            </w:pPr>
          </w:p>
        </w:tc>
        <w:tc>
          <w:tcPr>
            <w:tcW w:w="3083" w:type="dxa"/>
            <w:vAlign w:val="center"/>
          </w:tcPr>
          <w:p w14:paraId="4B1D72B9" w14:textId="77777777" w:rsidR="00EE5405" w:rsidRPr="00EE5405" w:rsidRDefault="00EE5405" w:rsidP="00EE5405">
            <w:pPr>
              <w:rPr>
                <w:rFonts w:ascii="Poppins-Regular" w:hAnsi="Poppins-Regular" w:cs="Times New Roman"/>
              </w:rPr>
            </w:pPr>
          </w:p>
        </w:tc>
      </w:tr>
      <w:tr w:rsidR="00EE5405" w:rsidRPr="00EE5405" w14:paraId="7B92DBE8" w14:textId="77777777" w:rsidTr="00D541DD">
        <w:trPr>
          <w:trHeight w:val="567"/>
        </w:trPr>
        <w:tc>
          <w:tcPr>
            <w:tcW w:w="9247" w:type="dxa"/>
            <w:gridSpan w:val="6"/>
            <w:vAlign w:val="center"/>
          </w:tcPr>
          <w:p w14:paraId="45AF9278" w14:textId="77777777" w:rsidR="00EE5405" w:rsidRPr="00EE5405" w:rsidRDefault="00EE5405" w:rsidP="00EE5405">
            <w:pPr>
              <w:rPr>
                <w:rFonts w:ascii="Poppins-Regular" w:hAnsi="Poppins-Regular" w:cs="Times New Roman"/>
              </w:rPr>
            </w:pPr>
          </w:p>
        </w:tc>
      </w:tr>
      <w:tr w:rsidR="00EE5405" w:rsidRPr="00EE5405" w14:paraId="6AFE7D3D" w14:textId="77777777" w:rsidTr="00D541DD">
        <w:trPr>
          <w:trHeight w:val="567"/>
        </w:trPr>
        <w:tc>
          <w:tcPr>
            <w:tcW w:w="9247" w:type="dxa"/>
            <w:gridSpan w:val="6"/>
            <w:vAlign w:val="center"/>
          </w:tcPr>
          <w:p w14:paraId="4C0B5D13" w14:textId="77777777" w:rsidR="00EE5405" w:rsidRPr="00EE5405" w:rsidRDefault="00EE5405" w:rsidP="00EE5405">
            <w:pPr>
              <w:rPr>
                <w:rFonts w:ascii="Poppins-Regular" w:hAnsi="Poppins-Regular" w:cs="Times New Roman"/>
              </w:rPr>
            </w:pPr>
            <w:r w:rsidRPr="00EE5405">
              <w:rPr>
                <w:rFonts w:ascii="Poppins-Regular" w:hAnsi="Poppins-Regular" w:cs="Times New Roman"/>
              </w:rPr>
              <w:t>Signed by:</w:t>
            </w:r>
          </w:p>
        </w:tc>
      </w:tr>
      <w:tr w:rsidR="00EE5405" w:rsidRPr="00EE5405" w14:paraId="558DE670" w14:textId="77777777" w:rsidTr="00D541DD">
        <w:trPr>
          <w:trHeight w:val="567"/>
        </w:trPr>
        <w:tc>
          <w:tcPr>
            <w:tcW w:w="2813" w:type="dxa"/>
            <w:tcBorders>
              <w:bottom w:val="single" w:sz="2" w:space="0" w:color="auto"/>
            </w:tcBorders>
            <w:vAlign w:val="center"/>
          </w:tcPr>
          <w:p w14:paraId="4017771C" w14:textId="77777777" w:rsidR="00EE5405" w:rsidRPr="00EE5405" w:rsidRDefault="00EE5405" w:rsidP="00EE5405">
            <w:pPr>
              <w:rPr>
                <w:rFonts w:ascii="Poppins-Regular" w:hAnsi="Poppins-Regular" w:cs="Times New Roman"/>
              </w:rPr>
            </w:pPr>
          </w:p>
        </w:tc>
        <w:tc>
          <w:tcPr>
            <w:tcW w:w="2432" w:type="dxa"/>
            <w:gridSpan w:val="2"/>
            <w:vAlign w:val="center"/>
          </w:tcPr>
          <w:p w14:paraId="5F414104" w14:textId="77777777" w:rsidR="00EE5405" w:rsidRPr="00EE5405" w:rsidRDefault="00EE5405" w:rsidP="00EE5405">
            <w:pPr>
              <w:rPr>
                <w:rFonts w:ascii="Poppins-Regular" w:hAnsi="Poppins-Regular" w:cs="Times New Roman"/>
              </w:rPr>
            </w:pPr>
            <w:r w:rsidRPr="00EE5405">
              <w:rPr>
                <w:rFonts w:ascii="Poppins-Regular" w:hAnsi="Poppins-Regular" w:cs="Times New Roman"/>
              </w:rPr>
              <w:t>Headteacher</w:t>
            </w:r>
          </w:p>
        </w:tc>
        <w:tc>
          <w:tcPr>
            <w:tcW w:w="784" w:type="dxa"/>
            <w:vAlign w:val="center"/>
          </w:tcPr>
          <w:p w14:paraId="65681A1B" w14:textId="77777777" w:rsidR="00EE5405" w:rsidRPr="00EE5405" w:rsidRDefault="00EE5405" w:rsidP="00EE5405">
            <w:pPr>
              <w:rPr>
                <w:rFonts w:ascii="Poppins-Regular" w:hAnsi="Poppins-Regular" w:cs="Times New Roman"/>
              </w:rPr>
            </w:pPr>
            <w:r w:rsidRPr="00EE5405">
              <w:rPr>
                <w:rFonts w:ascii="Poppins-Regular" w:hAnsi="Poppins-Regular" w:cs="Times New Roman"/>
              </w:rPr>
              <w:t>Date:</w:t>
            </w:r>
          </w:p>
        </w:tc>
        <w:tc>
          <w:tcPr>
            <w:tcW w:w="3218" w:type="dxa"/>
            <w:gridSpan w:val="2"/>
            <w:tcBorders>
              <w:bottom w:val="single" w:sz="2" w:space="0" w:color="auto"/>
            </w:tcBorders>
            <w:vAlign w:val="center"/>
          </w:tcPr>
          <w:p w14:paraId="65BE6DF9" w14:textId="77777777" w:rsidR="00EE5405" w:rsidRPr="00EE5405" w:rsidRDefault="00EE5405" w:rsidP="00EE5405">
            <w:pPr>
              <w:rPr>
                <w:rFonts w:ascii="Poppins-Regular" w:hAnsi="Poppins-Regular" w:cs="Times New Roman"/>
              </w:rPr>
            </w:pPr>
          </w:p>
        </w:tc>
      </w:tr>
      <w:tr w:rsidR="00EE5405" w:rsidRPr="00EE5405" w14:paraId="5A06257C" w14:textId="77777777" w:rsidTr="00D541DD">
        <w:trPr>
          <w:trHeight w:val="567"/>
        </w:trPr>
        <w:tc>
          <w:tcPr>
            <w:tcW w:w="2813" w:type="dxa"/>
            <w:tcBorders>
              <w:top w:val="single" w:sz="2" w:space="0" w:color="auto"/>
              <w:bottom w:val="single" w:sz="4" w:space="0" w:color="auto"/>
            </w:tcBorders>
            <w:vAlign w:val="center"/>
          </w:tcPr>
          <w:p w14:paraId="3FCE2FA1" w14:textId="77777777" w:rsidR="00EE5405" w:rsidRPr="00EE5405" w:rsidRDefault="00EE5405" w:rsidP="00EE5405">
            <w:pPr>
              <w:rPr>
                <w:rFonts w:ascii="Poppins-Regular" w:hAnsi="Poppins-Regular" w:cs="Times New Roman"/>
              </w:rPr>
            </w:pPr>
          </w:p>
        </w:tc>
        <w:tc>
          <w:tcPr>
            <w:tcW w:w="2432" w:type="dxa"/>
            <w:gridSpan w:val="2"/>
            <w:vAlign w:val="center"/>
          </w:tcPr>
          <w:p w14:paraId="6405FE44" w14:textId="77777777" w:rsidR="00EE5405" w:rsidRPr="00EE5405" w:rsidRDefault="00EE5405" w:rsidP="00EE5405">
            <w:pPr>
              <w:rPr>
                <w:rFonts w:ascii="Poppins-Regular" w:hAnsi="Poppins-Regular" w:cs="Times New Roman"/>
                <w:highlight w:val="lightGray"/>
              </w:rPr>
            </w:pPr>
            <w:r w:rsidRPr="00EE5405">
              <w:rPr>
                <w:rFonts w:ascii="Poppins-Regular" w:hAnsi="Poppins-Regular" w:cs="Times New Roman"/>
              </w:rPr>
              <w:t>Chair of governors</w:t>
            </w:r>
          </w:p>
        </w:tc>
        <w:tc>
          <w:tcPr>
            <w:tcW w:w="784" w:type="dxa"/>
            <w:vAlign w:val="center"/>
          </w:tcPr>
          <w:p w14:paraId="54F85B2E" w14:textId="77777777" w:rsidR="00EE5405" w:rsidRPr="00EE5405" w:rsidRDefault="00EE5405" w:rsidP="00EE5405">
            <w:pPr>
              <w:rPr>
                <w:rFonts w:ascii="Poppins-Regular" w:hAnsi="Poppins-Regular" w:cs="Times New Roman"/>
              </w:rPr>
            </w:pPr>
            <w:r w:rsidRPr="00EE5405">
              <w:rPr>
                <w:rFonts w:ascii="Poppins-Regular" w:hAnsi="Poppins-Regular" w:cs="Times New Roman"/>
              </w:rPr>
              <w:t>Date:</w:t>
            </w:r>
          </w:p>
        </w:tc>
        <w:tc>
          <w:tcPr>
            <w:tcW w:w="3218" w:type="dxa"/>
            <w:gridSpan w:val="2"/>
            <w:tcBorders>
              <w:top w:val="single" w:sz="2" w:space="0" w:color="auto"/>
              <w:bottom w:val="single" w:sz="4" w:space="0" w:color="auto"/>
            </w:tcBorders>
            <w:vAlign w:val="center"/>
          </w:tcPr>
          <w:p w14:paraId="56CEE3CD" w14:textId="77777777" w:rsidR="00EE5405" w:rsidRPr="00EE5405" w:rsidRDefault="00EE5405" w:rsidP="00EE5405">
            <w:pPr>
              <w:rPr>
                <w:rFonts w:ascii="Poppins-Regular" w:hAnsi="Poppins-Regular" w:cs="Times New Roman"/>
              </w:rPr>
            </w:pPr>
          </w:p>
        </w:tc>
      </w:tr>
    </w:tbl>
    <w:p w14:paraId="583F260D" w14:textId="77777777" w:rsidR="00EE5405" w:rsidRPr="00EE5405" w:rsidRDefault="00EE5405" w:rsidP="00EE5405"/>
    <w:sectPr w:rsidR="00EE5405" w:rsidRPr="00EE5405" w:rsidSect="00A808C4">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Regular">
    <w:altName w:val="Poppins"/>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311675"/>
      <w:docPartObj>
        <w:docPartGallery w:val="Page Numbers (Bottom of Page)"/>
        <w:docPartUnique/>
      </w:docPartObj>
    </w:sdtPr>
    <w:sdtEndPr>
      <w:rPr>
        <w:noProof/>
      </w:rPr>
    </w:sdtEndPr>
    <w:sdtContent>
      <w:p w14:paraId="567EB165" w14:textId="1C529E29" w:rsidR="00EE5405" w:rsidRDefault="00EE54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2D1CB5" w14:textId="77777777" w:rsidR="00EE5405" w:rsidRDefault="00EE5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C1DA5018"/>
    <w:lvl w:ilvl="0" w:tplc="1DA0082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C682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4089C"/>
    <w:multiLevelType w:val="hybridMultilevel"/>
    <w:tmpl w:val="CE48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A17BF1"/>
    <w:multiLevelType w:val="hybridMultilevel"/>
    <w:tmpl w:val="3124A7EC"/>
    <w:lvl w:ilvl="0" w:tplc="7A08254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1"/>
  </w:num>
  <w:num w:numId="3">
    <w:abstractNumId w:val="5"/>
  </w:num>
  <w:num w:numId="4">
    <w:abstractNumId w:val="38"/>
  </w:num>
  <w:num w:numId="5">
    <w:abstractNumId w:val="32"/>
  </w:num>
  <w:num w:numId="6">
    <w:abstractNumId w:val="11"/>
  </w:num>
  <w:num w:numId="7">
    <w:abstractNumId w:val="4"/>
  </w:num>
  <w:num w:numId="8">
    <w:abstractNumId w:val="29"/>
  </w:num>
  <w:num w:numId="9">
    <w:abstractNumId w:val="13"/>
  </w:num>
  <w:num w:numId="10">
    <w:abstractNumId w:val="33"/>
  </w:num>
  <w:num w:numId="11">
    <w:abstractNumId w:val="49"/>
  </w:num>
  <w:num w:numId="12">
    <w:abstractNumId w:val="25"/>
  </w:num>
  <w:num w:numId="13">
    <w:abstractNumId w:val="44"/>
  </w:num>
  <w:num w:numId="14">
    <w:abstractNumId w:val="2"/>
  </w:num>
  <w:num w:numId="15">
    <w:abstractNumId w:val="14"/>
  </w:num>
  <w:num w:numId="16">
    <w:abstractNumId w:val="35"/>
  </w:num>
  <w:num w:numId="17">
    <w:abstractNumId w:val="6"/>
  </w:num>
  <w:num w:numId="18">
    <w:abstractNumId w:val="47"/>
  </w:num>
  <w:num w:numId="19">
    <w:abstractNumId w:val="7"/>
  </w:num>
  <w:num w:numId="20">
    <w:abstractNumId w:val="41"/>
  </w:num>
  <w:num w:numId="21">
    <w:abstractNumId w:val="0"/>
  </w:num>
  <w:num w:numId="22">
    <w:abstractNumId w:val="39"/>
  </w:num>
  <w:num w:numId="23">
    <w:abstractNumId w:val="9"/>
  </w:num>
  <w:num w:numId="24">
    <w:abstractNumId w:val="28"/>
  </w:num>
  <w:num w:numId="25">
    <w:abstractNumId w:val="18"/>
  </w:num>
  <w:num w:numId="26">
    <w:abstractNumId w:val="3"/>
  </w:num>
  <w:num w:numId="27">
    <w:abstractNumId w:val="46"/>
  </w:num>
  <w:num w:numId="28">
    <w:abstractNumId w:val="48"/>
  </w:num>
  <w:num w:numId="29">
    <w:abstractNumId w:val="15"/>
  </w:num>
  <w:num w:numId="30">
    <w:abstractNumId w:val="19"/>
  </w:num>
  <w:num w:numId="31">
    <w:abstractNumId w:val="26"/>
  </w:num>
  <w:num w:numId="32">
    <w:abstractNumId w:val="27"/>
  </w:num>
  <w:num w:numId="33">
    <w:abstractNumId w:val="8"/>
  </w:num>
  <w:num w:numId="34">
    <w:abstractNumId w:val="36"/>
  </w:num>
  <w:num w:numId="35">
    <w:abstractNumId w:val="23"/>
  </w:num>
  <w:num w:numId="36">
    <w:abstractNumId w:val="10"/>
  </w:num>
  <w:num w:numId="37">
    <w:abstractNumId w:val="21"/>
  </w:num>
  <w:num w:numId="38">
    <w:abstractNumId w:val="43"/>
  </w:num>
  <w:num w:numId="39">
    <w:abstractNumId w:val="22"/>
  </w:num>
  <w:num w:numId="40">
    <w:abstractNumId w:val="1"/>
  </w:num>
  <w:num w:numId="41">
    <w:abstractNumId w:val="24"/>
  </w:num>
  <w:num w:numId="42">
    <w:abstractNumId w:val="34"/>
  </w:num>
  <w:num w:numId="43">
    <w:abstractNumId w:val="40"/>
  </w:num>
  <w:num w:numId="44">
    <w:abstractNumId w:val="30"/>
  </w:num>
  <w:num w:numId="45">
    <w:abstractNumId w:val="45"/>
  </w:num>
  <w:num w:numId="46">
    <w:abstractNumId w:val="20"/>
  </w:num>
  <w:num w:numId="47">
    <w:abstractNumId w:val="16"/>
  </w:num>
  <w:num w:numId="48">
    <w:abstractNumId w:val="12"/>
  </w:num>
  <w:num w:numId="49">
    <w:abstractNumId w:val="37"/>
  </w:num>
  <w:num w:numId="50">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25C52"/>
    <w:rsid w:val="00032AEA"/>
    <w:rsid w:val="000407B1"/>
    <w:rsid w:val="00094C5A"/>
    <w:rsid w:val="001676EC"/>
    <w:rsid w:val="001E43ED"/>
    <w:rsid w:val="002018A2"/>
    <w:rsid w:val="00217F8A"/>
    <w:rsid w:val="002B3C11"/>
    <w:rsid w:val="004A310C"/>
    <w:rsid w:val="0053219F"/>
    <w:rsid w:val="005815B4"/>
    <w:rsid w:val="006821AF"/>
    <w:rsid w:val="00740E71"/>
    <w:rsid w:val="00796656"/>
    <w:rsid w:val="00A16AA1"/>
    <w:rsid w:val="00A808C4"/>
    <w:rsid w:val="00A83F20"/>
    <w:rsid w:val="00B15552"/>
    <w:rsid w:val="00B2581F"/>
    <w:rsid w:val="00C921A5"/>
    <w:rsid w:val="00CA6DB4"/>
    <w:rsid w:val="00CD2E12"/>
    <w:rsid w:val="00E1657A"/>
    <w:rsid w:val="00E759AB"/>
    <w:rsid w:val="00E90F45"/>
    <w:rsid w:val="00EC4559"/>
    <w:rsid w:val="00EE5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2"/>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3"/>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4"/>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5"/>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table" w:customStyle="1" w:styleId="TableGrid2">
    <w:name w:val="Table Grid2"/>
    <w:basedOn w:val="TableNormal"/>
    <w:next w:val="TableGrid"/>
    <w:uiPriority w:val="59"/>
    <w:rsid w:val="00EE5405"/>
    <w:pPr>
      <w:spacing w:before="0" w:after="0" w:line="240" w:lineRule="auto"/>
    </w:pPr>
    <w:rPr>
      <w:rFonts w:eastAsia="Poppins-Regula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Policy</dc:title>
  <dc:subject>Autumn</dc:subject>
  <dc:creator>updated</dc:creator>
  <cp:lastModifiedBy>Caerwen Butler</cp:lastModifiedBy>
  <cp:revision>3</cp:revision>
  <cp:lastPrinted>2026-08-27T16:24:00Z</cp:lastPrinted>
  <dcterms:created xsi:type="dcterms:W3CDTF">2026-08-28T22:25:00Z</dcterms:created>
  <dcterms:modified xsi:type="dcterms:W3CDTF">2026-09-10T10:53:00Z</dcterms:modified>
</cp:coreProperties>
</file>